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DDFC8" w14:textId="77777777" w:rsidR="00FA40CE" w:rsidRDefault="00FA40CE" w:rsidP="00FA40CE">
      <w:pPr>
        <w:rPr>
          <w:b/>
          <w:bCs/>
        </w:rPr>
      </w:pPr>
      <w:r>
        <w:rPr>
          <w:b/>
          <w:bCs/>
        </w:rPr>
        <w:t>Jaarverslag diplomaconsuls</w:t>
      </w:r>
    </w:p>
    <w:p w14:paraId="768EFEB4" w14:textId="3FC75AAC" w:rsidR="00FA40CE" w:rsidRPr="00BF5871" w:rsidRDefault="00FA40CE" w:rsidP="00FA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Door omstandigheden was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Johan Boots de tweede helft van het seizoen 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beperkt of niet in staat om examens af te nemen. Wel kon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hij 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ze nakijken en de diploma’s invullen.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Wim Zwinkels heeft Johan vervangen met examens afnemen, Kees Offermans heeft examens afgenomen in het Groene Hart en verder hebben Lo van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Osch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Marcus Driessen, Jeroen Warmerdam en Rob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Uittenboogerd</w:t>
      </w:r>
      <w:proofErr w:type="spellEnd"/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geassisteerd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. Iedereen enorm bedankt!</w:t>
      </w:r>
    </w:p>
    <w:p w14:paraId="66CE33C1" w14:textId="330DE15E" w:rsidR="00FA40CE" w:rsidRDefault="00FA40CE" w:rsidP="00FA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Dit 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seizoen zijn 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75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 examens afgenomen waarvan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4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% meisjes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. 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De vijf grote verenigingen zorg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d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en voor het leeuwendeel en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de nieuwe vereniging M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atzetters uit Lisse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hield ook examens.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Een aantal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verenigingen </w:t>
      </w: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had zowel in de winter en zomer examens.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</w:p>
    <w:p w14:paraId="0FA45067" w14:textId="77777777" w:rsidR="00FA40CE" w:rsidRDefault="00FA40CE" w:rsidP="00FA4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BF5871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Er was geen stap 6 kandidaat en maar weinig stappen 4 en 5.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Het slagingspercentage bedroeg 89%, flink hoger dan andere jaren. </w:t>
      </w:r>
    </w:p>
    <w:p w14:paraId="6492E645" w14:textId="44EBE431" w:rsidR="00FA40CE" w:rsidRDefault="00FA40CE"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De plusstappen gaan uit de roulatie 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bij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de KNSB. In onze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Leisb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voorraad zitten nog wel voldoende stap 2+-examens en diploma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’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s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voor de komende twee jaar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. Er komt 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verder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steeds meer vraag naar Engelstalige examens. Ons voorstel is om voor de stappen 1 en 2 de mogelijkheid te geven om Engelstalige examens aan te vragen. Voor hogere stappen doen we dit niet omdat kinderen vaak al de leeftijd hebben </w:t>
      </w:r>
      <w:r w:rsidR="002C3DB6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dat ze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bekend zijn met de Nederlandse taal.</w:t>
      </w:r>
    </w:p>
    <w:p w14:paraId="2BE5E5CD" w14:textId="77777777" w:rsidR="00FA40CE" w:rsidRDefault="00FA40CE"/>
    <w:tbl>
      <w:tblPr>
        <w:tblW w:w="10725" w:type="dxa"/>
        <w:tblInd w:w="-8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965"/>
        <w:gridCol w:w="640"/>
        <w:gridCol w:w="660"/>
        <w:gridCol w:w="660"/>
        <w:gridCol w:w="640"/>
        <w:gridCol w:w="640"/>
        <w:gridCol w:w="760"/>
        <w:gridCol w:w="720"/>
        <w:gridCol w:w="740"/>
        <w:gridCol w:w="683"/>
        <w:gridCol w:w="1097"/>
        <w:gridCol w:w="1020"/>
      </w:tblGrid>
      <w:tr w:rsidR="00FA40CE" w:rsidRPr="00716986" w14:paraId="27C8CCF3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504C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23579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Opstapje 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A2FD6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9E627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F55F6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19883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47A69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8D70D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1+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EDD73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2+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24271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Stap 3+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BD5B3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totaal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1F60B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%geslaagd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8B871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% meisjes</w:t>
            </w:r>
          </w:p>
        </w:tc>
      </w:tr>
      <w:tr w:rsidR="00FA40CE" w:rsidRPr="00716986" w14:paraId="6237ED55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B5088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OEW1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D4B7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5212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6621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DBC5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E0621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DFB4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CA93C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5144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6B09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118CC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2E57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92%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AF0E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13%</w:t>
            </w:r>
          </w:p>
        </w:tc>
      </w:tr>
      <w:tr w:rsidR="00FA40CE" w:rsidRPr="00716986" w14:paraId="2C1D23BA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8D0EA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OEW2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35E3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299E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7340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37C6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789E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235A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09C7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E2F96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43821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A0B07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53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5E622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A70F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23%</w:t>
            </w:r>
          </w:p>
        </w:tc>
      </w:tr>
      <w:tr w:rsidR="00FA40CE" w:rsidRPr="00716986" w14:paraId="7429C417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0689D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Vrijpionnen 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A4B44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64FD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1A04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FA8D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EC945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3F12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812D4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733C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AD85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AB3D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2DD7B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79A5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6%</w:t>
            </w:r>
          </w:p>
        </w:tc>
      </w:tr>
      <w:tr w:rsidR="00FA40CE" w:rsidRPr="00716986" w14:paraId="137D90F9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48C30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Vrijpionnen 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2BB39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52C82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9626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13CF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BF1D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F9D4D2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63E9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C6A4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5A81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F529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FBCC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87%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9DCE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7%</w:t>
            </w:r>
          </w:p>
        </w:tc>
      </w:tr>
      <w:tr w:rsidR="00FA40CE" w:rsidRPr="00716986" w14:paraId="694F03B5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F5355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Voorschoten 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CCA88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2976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715A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642D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0160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96959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B69A1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0075B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6D493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5CCD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F375B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88%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B783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16%</w:t>
            </w:r>
          </w:p>
        </w:tc>
      </w:tr>
      <w:tr w:rsidR="00FA40CE" w:rsidRPr="00716986" w14:paraId="4902D86E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E2606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Voorschoten 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583E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218F2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3E88F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D9E5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FB0F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4D34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9A1E2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42E32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D1ED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5D0F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D5A2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60%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7A71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27%</w:t>
            </w:r>
          </w:p>
        </w:tc>
      </w:tr>
      <w:tr w:rsidR="00FA40CE" w:rsidRPr="00716986" w14:paraId="510C4777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5C616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Leiderdorp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CF077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1E11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523B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8270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F1C6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2615A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DBF25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AB54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824AC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3E52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BD19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3F9A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5%</w:t>
            </w:r>
          </w:p>
        </w:tc>
      </w:tr>
      <w:tr w:rsidR="00FA40CE" w:rsidRPr="00716986" w14:paraId="1CA4675C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E7FFD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LSG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0EBFF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A5C5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66DF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5AB9F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5B53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629F7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4D5E7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ECB5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BD34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5ECC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8F31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2BC0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22%</w:t>
            </w:r>
          </w:p>
        </w:tc>
      </w:tr>
      <w:tr w:rsidR="00FA40CE" w:rsidRPr="00716986" w14:paraId="16E7F269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DEFD6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Schapendel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6E685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646D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9A897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55897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44105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F1E15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1C72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0D2A4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DCA6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994D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F353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9ABF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25%</w:t>
            </w:r>
          </w:p>
        </w:tc>
      </w:tr>
      <w:tr w:rsidR="00FA40CE" w:rsidRPr="00716986" w14:paraId="26460851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B7664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Stormpionnen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9C8C5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823BB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F81A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D6012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B772C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7844A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AD249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23EB2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BF606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1A295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B083F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3454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0%</w:t>
            </w:r>
          </w:p>
        </w:tc>
      </w:tr>
      <w:tr w:rsidR="00FA40CE" w:rsidRPr="00716986" w14:paraId="1BF98FDC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9DC7F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Tisa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CE281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A5E1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72E3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4690B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E9C5E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1A607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DB394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03CDE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BEAB7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82EB1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42FB1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668A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0%</w:t>
            </w:r>
          </w:p>
        </w:tc>
      </w:tr>
      <w:tr w:rsidR="00FA40CE" w:rsidRPr="00716986" w14:paraId="76B65E49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09F72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Matzeters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1BEEB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6036E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E666E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C712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D2A20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5E25E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A1AB3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AF03BF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F6B22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DF2C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6DC9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A283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0%</w:t>
            </w:r>
          </w:p>
        </w:tc>
      </w:tr>
      <w:tr w:rsidR="00FA40CE" w:rsidRPr="00716986" w14:paraId="330ABE50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C0437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Reynaerde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A88D2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FCE22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3D34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D3E5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D202B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7E193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5709C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DF0F4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1AA24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8F75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5199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3D262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?</w:t>
            </w:r>
          </w:p>
        </w:tc>
      </w:tr>
      <w:tr w:rsidR="00FA40CE" w:rsidRPr="00716986" w14:paraId="4EAF9010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3CC31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AAS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D586D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64BA1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026E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0FD01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6D2B9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EE85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4F382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E6CC9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05272" w14:textId="77777777" w:rsidR="00FA40CE" w:rsidRPr="00716986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7BE80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3FB3C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9F242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?</w:t>
            </w:r>
          </w:p>
        </w:tc>
      </w:tr>
      <w:tr w:rsidR="00FA40CE" w:rsidRPr="00716986" w14:paraId="3E1C8606" w14:textId="77777777" w:rsidTr="00FA40CE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69798" w14:textId="77777777" w:rsidR="00FA40CE" w:rsidRPr="00716986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totaal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27DA3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A7A68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6B75B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4F427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74AB1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94FE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C18F5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62B2D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30B5A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769C4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275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15786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788EB" w14:textId="77777777" w:rsidR="00FA40CE" w:rsidRPr="00716986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71698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14%</w:t>
            </w:r>
          </w:p>
        </w:tc>
      </w:tr>
    </w:tbl>
    <w:p w14:paraId="7DCBCA00" w14:textId="77777777" w:rsidR="00FA40CE" w:rsidRDefault="00FA40CE"/>
    <w:tbl>
      <w:tblPr>
        <w:tblpPr w:leftFromText="141" w:rightFromText="141" w:vertAnchor="text" w:horzAnchor="margin" w:tblpXSpec="center" w:tblpY="28"/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A40CE" w:rsidRPr="00FA40CE" w14:paraId="105E1ADB" w14:textId="77777777" w:rsidTr="00FA40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A2646" w14:textId="77777777" w:rsidR="00FA40CE" w:rsidRPr="00FA40CE" w:rsidRDefault="00FA40CE" w:rsidP="00FA40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B3468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2015-2016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63FB0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2016-2017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62ED5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2017-2018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F90CC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2018-2019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2BFC5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2019-2020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3C45A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2020-2021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09E17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2021-2022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DB9B0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2022-2023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96CE8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2023-2024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3BD32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2024-2025</w:t>
            </w:r>
          </w:p>
        </w:tc>
      </w:tr>
      <w:tr w:rsidR="00FA40CE" w:rsidRPr="00FA40CE" w14:paraId="07063A36" w14:textId="77777777" w:rsidTr="00FA40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9086C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examens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4C7EF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71E92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CC5E4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A0A987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45086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1EC2A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DC5AC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53D17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55A85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E7EE1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275</w:t>
            </w:r>
          </w:p>
        </w:tc>
      </w:tr>
      <w:tr w:rsidR="00FA40CE" w:rsidRPr="00FA40CE" w14:paraId="2BB92DB5" w14:textId="77777777" w:rsidTr="00FA40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3CD23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geslaagd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17A70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2FE29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D100E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DECE2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592F6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3C0C2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6A0B3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FE524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76886B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C51C0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245</w:t>
            </w:r>
          </w:p>
        </w:tc>
      </w:tr>
      <w:tr w:rsidR="00FA40CE" w:rsidRPr="00FA40CE" w14:paraId="4499F4BF" w14:textId="77777777" w:rsidTr="00FA40C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B5570" w14:textId="77777777" w:rsidR="00FA40CE" w:rsidRPr="00FA40CE" w:rsidRDefault="00FA40CE" w:rsidP="00FA40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99DFB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E5610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88046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DDCD1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CFA2A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61EF6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E8708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EF236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79%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EACDA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9F99D" w14:textId="77777777" w:rsidR="00FA40CE" w:rsidRPr="00FA40CE" w:rsidRDefault="00FA40CE" w:rsidP="00FA40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FA40CE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89%</w:t>
            </w:r>
          </w:p>
        </w:tc>
      </w:tr>
    </w:tbl>
    <w:p w14:paraId="0987D9E3" w14:textId="77777777" w:rsidR="00FA40CE" w:rsidRDefault="00FA40CE"/>
    <w:p w14:paraId="1706D8AD" w14:textId="08022849" w:rsidR="00FA40CE" w:rsidRDefault="00FA40CE">
      <w:r>
        <w:rPr>
          <w:noProof/>
        </w:rPr>
        <w:lastRenderedPageBreak/>
        <w:drawing>
          <wp:inline distT="0" distB="0" distL="0" distR="0" wp14:anchorId="55D029AC" wp14:editId="4526811C">
            <wp:extent cx="5657850" cy="1752600"/>
            <wp:effectExtent l="0" t="0" r="0" b="0"/>
            <wp:docPr id="1481097326" name="Grafiek 1">
              <a:extLst xmlns:a="http://schemas.openxmlformats.org/drawingml/2006/main">
                <a:ext uri="{FF2B5EF4-FFF2-40B4-BE49-F238E27FC236}">
                  <a16:creationId xmlns:a16="http://schemas.microsoft.com/office/drawing/2014/main" id="{1B46F387-B328-C5DE-AFC6-DC4DBB9BD65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A4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0CE"/>
    <w:rsid w:val="002C3DB6"/>
    <w:rsid w:val="00604836"/>
    <w:rsid w:val="00683CA7"/>
    <w:rsid w:val="006C4C6D"/>
    <w:rsid w:val="0078409F"/>
    <w:rsid w:val="00F06799"/>
    <w:rsid w:val="00F6560F"/>
    <w:rsid w:val="00FA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3CCF"/>
  <w15:chartTrackingRefBased/>
  <w15:docId w15:val="{66A08E6E-3653-4D96-BF7E-02859499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4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4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4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4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4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4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4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4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4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4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A4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4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40C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40C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40C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40C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40C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40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A4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4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4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4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A4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A40C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A40C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A40C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4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40C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A40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chaak\LEISB\Diploma%20LSB_overzicht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Blad1!$AK$23</c:f>
              <c:strCache>
                <c:ptCount val="1"/>
                <c:pt idx="0">
                  <c:v>examens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Blad1!$AL$22:$AU$22</c:f>
              <c:strCache>
                <c:ptCount val="10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  <c:pt idx="3">
                  <c:v>2018-2019</c:v>
                </c:pt>
                <c:pt idx="4">
                  <c:v>2019-2020</c:v>
                </c:pt>
                <c:pt idx="5">
                  <c:v>2020-2021</c:v>
                </c:pt>
                <c:pt idx="6">
                  <c:v>2021-2022</c:v>
                </c:pt>
                <c:pt idx="7">
                  <c:v>2022-2023</c:v>
                </c:pt>
                <c:pt idx="8">
                  <c:v>2023-2024</c:v>
                </c:pt>
                <c:pt idx="9">
                  <c:v>2024-2025</c:v>
                </c:pt>
              </c:strCache>
            </c:strRef>
          </c:cat>
          <c:val>
            <c:numRef>
              <c:f>Blad1!$AL$23:$AU$23</c:f>
              <c:numCache>
                <c:formatCode>General</c:formatCode>
                <c:ptCount val="10"/>
                <c:pt idx="0">
                  <c:v>235</c:v>
                </c:pt>
                <c:pt idx="1">
                  <c:v>262</c:v>
                </c:pt>
                <c:pt idx="2">
                  <c:v>230</c:v>
                </c:pt>
                <c:pt idx="3">
                  <c:v>255</c:v>
                </c:pt>
                <c:pt idx="4">
                  <c:v>101</c:v>
                </c:pt>
                <c:pt idx="5">
                  <c:v>116</c:v>
                </c:pt>
                <c:pt idx="6">
                  <c:v>143</c:v>
                </c:pt>
                <c:pt idx="7">
                  <c:v>243</c:v>
                </c:pt>
                <c:pt idx="8">
                  <c:v>284</c:v>
                </c:pt>
                <c:pt idx="9">
                  <c:v>275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85B-4034-B104-CA8EE162ADC0}"/>
            </c:ext>
          </c:extLst>
        </c:ser>
        <c:ser>
          <c:idx val="1"/>
          <c:order val="1"/>
          <c:tx>
            <c:strRef>
              <c:f>Blad1!$AK$24</c:f>
              <c:strCache>
                <c:ptCount val="1"/>
                <c:pt idx="0">
                  <c:v>geslaagd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Blad1!$AL$22:$AU$22</c:f>
              <c:strCache>
                <c:ptCount val="10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  <c:pt idx="3">
                  <c:v>2018-2019</c:v>
                </c:pt>
                <c:pt idx="4">
                  <c:v>2019-2020</c:v>
                </c:pt>
                <c:pt idx="5">
                  <c:v>2020-2021</c:v>
                </c:pt>
                <c:pt idx="6">
                  <c:v>2021-2022</c:v>
                </c:pt>
                <c:pt idx="7">
                  <c:v>2022-2023</c:v>
                </c:pt>
                <c:pt idx="8">
                  <c:v>2023-2024</c:v>
                </c:pt>
                <c:pt idx="9">
                  <c:v>2024-2025</c:v>
                </c:pt>
              </c:strCache>
            </c:strRef>
          </c:cat>
          <c:val>
            <c:numRef>
              <c:f>Blad1!$AL$24:$AU$24</c:f>
              <c:numCache>
                <c:formatCode>General</c:formatCode>
                <c:ptCount val="10"/>
                <c:pt idx="0">
                  <c:v>175</c:v>
                </c:pt>
                <c:pt idx="1">
                  <c:v>205</c:v>
                </c:pt>
                <c:pt idx="2">
                  <c:v>171</c:v>
                </c:pt>
                <c:pt idx="3">
                  <c:v>199</c:v>
                </c:pt>
                <c:pt idx="4">
                  <c:v>87</c:v>
                </c:pt>
                <c:pt idx="5">
                  <c:v>89</c:v>
                </c:pt>
                <c:pt idx="6">
                  <c:v>111</c:v>
                </c:pt>
                <c:pt idx="7">
                  <c:v>193</c:v>
                </c:pt>
                <c:pt idx="8">
                  <c:v>233</c:v>
                </c:pt>
                <c:pt idx="9">
                  <c:v>245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85B-4034-B104-CA8EE162AD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45529135"/>
        <c:axId val="545524335"/>
      </c:lineChart>
      <c:catAx>
        <c:axId val="5455291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545524335"/>
        <c:crosses val="autoZero"/>
        <c:auto val="1"/>
        <c:lblAlgn val="ctr"/>
        <c:lblOffset val="100"/>
        <c:noMultiLvlLbl val="0"/>
      </c:catAx>
      <c:valAx>
        <c:axId val="5455243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5455291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Zwinkels</dc:creator>
  <cp:keywords/>
  <dc:description/>
  <cp:lastModifiedBy>Wim Zwinkels</cp:lastModifiedBy>
  <cp:revision>3</cp:revision>
  <dcterms:created xsi:type="dcterms:W3CDTF">2025-07-29T12:50:00Z</dcterms:created>
  <dcterms:modified xsi:type="dcterms:W3CDTF">2025-07-29T21:31:00Z</dcterms:modified>
</cp:coreProperties>
</file>